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0209F9"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0209F9"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w:t>
      </w:r>
      <w:r w:rsidRPr="00806D41">
        <w:rPr>
          <w:rFonts w:ascii="Times New Roman" w:hAnsi="Times New Roman" w:cs="Times New Roman"/>
        </w:rPr>
        <w:lastRenderedPageBreak/>
        <w:t xml:space="preserve">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28C44005" w14:textId="77777777" w:rsidR="004B4B49" w:rsidRPr="00806D41" w:rsidRDefault="004B4B49" w:rsidP="00806D41">
      <w:pPr>
        <w:spacing w:before="120" w:after="120" w:line="240" w:lineRule="auto"/>
        <w:jc w:val="both"/>
        <w:rPr>
          <w:rFonts w:ascii="Times New Roman" w:hAnsi="Times New Roman" w:cs="Times New Roman"/>
        </w:rPr>
      </w:pP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province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of Şanlıurfa, it is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many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copper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straw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fur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processing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kazaz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felting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sackcloth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carpet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rug</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includes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such</w:t>
      </w:r>
      <w:proofErr w:type="spellEnd"/>
      <w:r w:rsidRPr="00806D41">
        <w:rPr>
          <w:rFonts w:ascii="Times New Roman" w:eastAsia="Times New Roman" w:hAnsi="Times New Roman" w:cs="Times New Roman"/>
          <w:color w:val="000000" w:themeColor="text1"/>
          <w:lang w:eastAsia="zh-CN"/>
        </w:rPr>
        <w:t xml:space="preserve"> as kilim,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has a </w:t>
      </w:r>
      <w:proofErr w:type="spellStart"/>
      <w:r w:rsidRPr="00806D41">
        <w:rPr>
          <w:rFonts w:ascii="Times New Roman" w:eastAsia="Times New Roman" w:hAnsi="Times New Roman" w:cs="Times New Roman"/>
          <w:color w:val="000000" w:themeColor="text1"/>
          <w:lang w:eastAsia="zh-CN"/>
        </w:rPr>
        <w:t>special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importance</w:t>
      </w:r>
      <w:proofErr w:type="spellEnd"/>
      <w:r w:rsidRPr="00806D41">
        <w:rPr>
          <w:rFonts w:ascii="Times New Roman" w:eastAsia="Times New Roman" w:hAnsi="Times New Roman" w:cs="Times New Roman"/>
          <w:color w:val="000000" w:themeColor="text1"/>
          <w:lang w:eastAsia="zh-CN"/>
        </w:rPr>
        <w:t xml:space="preserve"> since it </w:t>
      </w:r>
      <w:proofErr w:type="spellStart"/>
      <w:r w:rsidRPr="00806D41">
        <w:rPr>
          <w:rFonts w:ascii="Times New Roman" w:eastAsia="Times New Roman" w:hAnsi="Times New Roman" w:cs="Times New Roman"/>
          <w:color w:val="000000" w:themeColor="text1"/>
          <w:lang w:eastAsia="zh-CN"/>
        </w:rPr>
        <w:t>provides</w:t>
      </w:r>
      <w:proofErr w:type="spellEnd"/>
      <w:r w:rsidRPr="00806D41">
        <w:rPr>
          <w:rFonts w:ascii="Times New Roman" w:eastAsia="Times New Roman" w:hAnsi="Times New Roman" w:cs="Times New Roman"/>
          <w:color w:val="000000" w:themeColor="text1"/>
          <w:lang w:eastAsia="zh-CN"/>
        </w:rPr>
        <w:t xml:space="preserve"> an </w:t>
      </w:r>
      <w:proofErr w:type="spellStart"/>
      <w:r w:rsidRPr="00806D41">
        <w:rPr>
          <w:rFonts w:ascii="Times New Roman" w:eastAsia="Times New Roman" w:hAnsi="Times New Roman" w:cs="Times New Roman"/>
          <w:color w:val="000000" w:themeColor="text1"/>
          <w:lang w:eastAsia="zh-CN"/>
        </w:rPr>
        <w:t>opportunity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evaluation</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wool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obtained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livestock</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is an </w:t>
      </w:r>
      <w:proofErr w:type="spellStart"/>
      <w:r w:rsidRPr="00806D41">
        <w:rPr>
          <w:rFonts w:ascii="Times New Roman" w:eastAsia="Times New Roman" w:hAnsi="Times New Roman" w:cs="Times New Roman"/>
          <w:color w:val="000000" w:themeColor="text1"/>
          <w:lang w:eastAsia="zh-CN"/>
        </w:rPr>
        <w:t>important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economic</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activity</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Plain</w:t>
      </w:r>
      <w:proofErr w:type="spellEnd"/>
      <w:r w:rsidRPr="00806D41">
        <w:rPr>
          <w:rFonts w:ascii="Times New Roman" w:eastAsia="Times New Roman" w:hAnsi="Times New Roman" w:cs="Times New Roman"/>
          <w:color w:val="000000" w:themeColor="text1"/>
          <w:lang w:eastAsia="zh-CN"/>
        </w:rPr>
        <w:t xml:space="preserve"> kilim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evenly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under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is a </w:t>
      </w:r>
      <w:proofErr w:type="spellStart"/>
      <w:r w:rsidRPr="00806D41">
        <w:rPr>
          <w:rFonts w:ascii="Times New Roman" w:eastAsia="Times New Roman" w:hAnsi="Times New Roman" w:cs="Times New Roman"/>
          <w:color w:val="000000" w:themeColor="text1"/>
          <w:lang w:eastAsia="zh-CN"/>
        </w:rPr>
        <w:t>kind</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besides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Since it has a </w:t>
      </w:r>
      <w:proofErr w:type="spellStart"/>
      <w:r w:rsidRPr="00806D41">
        <w:rPr>
          <w:rFonts w:ascii="Times New Roman" w:eastAsia="Times New Roman" w:hAnsi="Times New Roman" w:cs="Times New Roman"/>
          <w:color w:val="000000" w:themeColor="text1"/>
          <w:lang w:eastAsia="zh-CN"/>
        </w:rPr>
        <w:t>similar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winding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lines</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 xml:space="preserve">, it has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embroidered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needle</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study</w:t>
      </w:r>
      <w:proofErr w:type="spellEnd"/>
      <w:r w:rsidRPr="00806D41">
        <w:rPr>
          <w:rFonts w:ascii="Times New Roman" w:eastAsia="Times New Roman" w:hAnsi="Times New Roman" w:cs="Times New Roman"/>
          <w:color w:val="000000" w:themeColor="text1"/>
          <w:lang w:eastAsia="zh-CN"/>
        </w:rPr>
        <w:t xml:space="preserve"> has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carried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out</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order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determine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motif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composition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characteristics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Şanlıurfa.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two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different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motif is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hold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structure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together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identified</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Viransehir</w:t>
      </w:r>
      <w:proofErr w:type="spellEnd"/>
      <w:r w:rsidRPr="00806D41">
        <w:rPr>
          <w:rFonts w:ascii="Times New Roman" w:eastAsia="Times New Roman" w:hAnsi="Times New Roman" w:cs="Times New Roman"/>
          <w:color w:val="000000" w:themeColor="text1"/>
          <w:lang w:eastAsia="zh-CN"/>
        </w:rPr>
        <w:t xml:space="preserve">, Harran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Siverek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narrow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varieties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produced</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three-legged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looms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It</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making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wide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cloths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sewing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its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decorating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tents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adding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them</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short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cicims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examples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form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between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may</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frequent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sparse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almost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all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paper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can be </w:t>
      </w:r>
      <w:proofErr w:type="spellStart"/>
      <w:r w:rsidRPr="00806D41">
        <w:rPr>
          <w:rFonts w:ascii="Times New Roman" w:eastAsia="Times New Roman" w:hAnsi="Times New Roman" w:cs="Times New Roman"/>
          <w:color w:val="000000" w:themeColor="text1"/>
          <w:lang w:eastAsia="zh-CN"/>
        </w:rPr>
        <w:t>reached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research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documented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photographs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information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about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properties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given</w:t>
      </w:r>
      <w:proofErr w:type="spellEnd"/>
      <w:r w:rsidRPr="00806D41">
        <w:rPr>
          <w:rFonts w:ascii="Times New Roman" w:eastAsia="Times New Roman" w:hAnsi="Times New Roman" w:cs="Times New Roman"/>
          <w:color w:val="000000" w:themeColor="text1"/>
          <w:lang w:eastAsia="zh-CN"/>
        </w:rPr>
        <w:t>.</w:t>
      </w:r>
    </w:p>
    <w:p w14:paraId="1E9A8E87" w14:textId="0BD8B671" w:rsidR="00BE16C9" w:rsidRDefault="00BE16C9" w:rsidP="00806D41">
      <w:pPr>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b/>
          <w:color w:val="000000" w:themeColor="text1"/>
          <w:lang w:eastAsia="zh-CN"/>
        </w:rPr>
        <w:t>Keywords</w:t>
      </w:r>
      <w:proofErr w:type="spellEnd"/>
      <w:r w:rsidRPr="00806D41">
        <w:rPr>
          <w:rFonts w:ascii="Times New Roman" w:eastAsia="Times New Roman" w:hAnsi="Times New Roman" w:cs="Times New Roman"/>
          <w:color w:val="000000" w:themeColor="text1"/>
          <w:lang w:eastAsia="zh-CN"/>
        </w:rPr>
        <w:t xml:space="preserve">: Cicim, Şanlıurfa, </w:t>
      </w:r>
      <w:proofErr w:type="spellStart"/>
      <w:r w:rsidRPr="00806D41">
        <w:rPr>
          <w:rFonts w:ascii="Times New Roman" w:eastAsia="Times New Roman" w:hAnsi="Times New Roman" w:cs="Times New Roman"/>
          <w:color w:val="000000" w:themeColor="text1"/>
          <w:lang w:eastAsia="zh-CN"/>
        </w:rPr>
        <w:t>Cultural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Heritage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Traditional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p>
    <w:p w14:paraId="13DBD07D" w14:textId="77777777" w:rsidR="004B4B49" w:rsidRPr="00806D41" w:rsidRDefault="004B4B49" w:rsidP="00806D41">
      <w:pPr>
        <w:spacing w:before="120" w:after="120" w:line="240" w:lineRule="auto"/>
        <w:jc w:val="both"/>
        <w:rPr>
          <w:rFonts w:ascii="Times New Roman" w:hAnsi="Times New Roman" w:cs="Times New Roman"/>
        </w:rPr>
      </w:pPr>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w:t>
      </w:r>
      <w:r w:rsidRPr="00806D41">
        <w:rPr>
          <w:rFonts w:ascii="Times New Roman" w:hAnsi="Times New Roman" w:cs="Times New Roman"/>
        </w:rPr>
        <w:lastRenderedPageBreak/>
        <w:t xml:space="preserve">çocukların sayısının artması; bireylerin evlenmek veya çocuk sahibi olmayı reddetmesi toplumsal 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2014). “Evlilik kalitesi” kavramına karşılık daha net ve yaygın </w:t>
      </w:r>
      <w:r w:rsidRPr="00806D41">
        <w:rPr>
          <w:rFonts w:ascii="Times New Roman" w:hAnsi="Times New Roman" w:cs="Times New Roman"/>
        </w:rPr>
        <w:lastRenderedPageBreak/>
        <w:t>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lastRenderedPageBreak/>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Aile Ekonomik </w:t>
            </w:r>
            <w:r w:rsidRPr="00806D41">
              <w:rPr>
                <w:rFonts w:ascii="Times New Roman" w:hAnsi="Times New Roman" w:cs="Times New Roman"/>
              </w:rPr>
              <w:lastRenderedPageBreak/>
              <w:t>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806D41">
        <w:rPr>
          <w:rFonts w:ascii="Times New Roman" w:hAnsi="Times New Roman" w:cs="Times New Roman"/>
        </w:rPr>
        <w:t>farklılık  hiç</w:t>
      </w:r>
      <w:proofErr w:type="gramEnd"/>
      <w:r w:rsidRPr="00806D41">
        <w:rPr>
          <w:rFonts w:ascii="Times New Roman" w:hAnsi="Times New Roman" w:cs="Times New Roman"/>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w:t>
      </w:r>
      <w:r w:rsidRPr="00806D41">
        <w:rPr>
          <w:rFonts w:ascii="Times New Roman" w:hAnsi="Times New Roman" w:cs="Times New Roman"/>
        </w:rPr>
        <w:lastRenderedPageBreak/>
        <w:t>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w:t>
      </w:r>
      <w:r w:rsidRPr="00806D41">
        <w:rPr>
          <w:rFonts w:ascii="Times New Roman" w:hAnsi="Times New Roman" w:cs="Times New Roman"/>
        </w:rPr>
        <w:lastRenderedPageBreak/>
        <w:t xml:space="preserve">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806D41">
        <w:rPr>
          <w:rFonts w:ascii="Times New Roman" w:hAnsi="Times New Roman" w:cs="Times New Roman"/>
        </w:rPr>
        <w:t>saptanmıştır .</w:t>
      </w:r>
      <w:proofErr w:type="gramEnd"/>
      <w:r w:rsidRPr="00806D41">
        <w:rPr>
          <w:rFonts w:ascii="Times New Roman" w:hAnsi="Times New Roman" w:cs="Times New Roman"/>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806D41">
        <w:rPr>
          <w:rFonts w:ascii="Times New Roman" w:hAnsi="Times New Roman" w:cs="Times New Roman"/>
        </w:rPr>
        <w:t>algılayan  çiftlerin</w:t>
      </w:r>
      <w:proofErr w:type="gramEnd"/>
      <w:r w:rsidRPr="00806D41">
        <w:rPr>
          <w:rFonts w:ascii="Times New Roman" w:hAnsi="Times New Roman" w:cs="Times New Roman"/>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Aile Ekonomik </w:t>
            </w:r>
            <w:r w:rsidRPr="00806D41">
              <w:rPr>
                <w:rFonts w:ascii="Times New Roman" w:hAnsi="Times New Roman" w:cs="Times New Roman"/>
              </w:rPr>
              <w:lastRenderedPageBreak/>
              <w:t>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w:t>
      </w:r>
      <w:r w:rsidRPr="00806D41">
        <w:rPr>
          <w:rFonts w:ascii="Times New Roman" w:hAnsi="Times New Roman" w:cs="Times New Roman"/>
        </w:rPr>
        <w:lastRenderedPageBreak/>
        <w:t xml:space="preserve">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w:t>
      </w:r>
      <w:r w:rsidRPr="00806D41">
        <w:rPr>
          <w:rFonts w:ascii="Times New Roman" w:hAnsi="Times New Roman" w:cs="Times New Roman"/>
        </w:rPr>
        <w:lastRenderedPageBreak/>
        <w:t>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1FF2" w14:textId="77777777" w:rsidR="000209F9" w:rsidRDefault="000209F9" w:rsidP="00974400">
      <w:pPr>
        <w:spacing w:after="0" w:line="240" w:lineRule="auto"/>
      </w:pPr>
      <w:r>
        <w:separator/>
      </w:r>
    </w:p>
  </w:endnote>
  <w:endnote w:type="continuationSeparator" w:id="0">
    <w:p w14:paraId="2D79F3B7" w14:textId="77777777" w:rsidR="000209F9" w:rsidRDefault="000209F9"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184" w14:textId="77777777" w:rsidR="00391E10" w:rsidRDefault="00391E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FAA9" w14:textId="77777777" w:rsidR="00391E10" w:rsidRDefault="00391E1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B840" w14:textId="77777777" w:rsidR="00391E10" w:rsidRDefault="00391E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3980" w14:textId="77777777" w:rsidR="000209F9" w:rsidRDefault="000209F9" w:rsidP="00974400">
      <w:pPr>
        <w:spacing w:after="0" w:line="240" w:lineRule="auto"/>
      </w:pPr>
      <w:r>
        <w:separator/>
      </w:r>
    </w:p>
  </w:footnote>
  <w:footnote w:type="continuationSeparator" w:id="0">
    <w:p w14:paraId="774872A1" w14:textId="77777777" w:rsidR="000209F9" w:rsidRDefault="000209F9"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763D" w14:textId="77777777" w:rsidR="00391E10" w:rsidRDefault="00391E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97974"/>
      <w:docPartObj>
        <w:docPartGallery w:val="Watermarks"/>
        <w:docPartUnique/>
      </w:docPartObj>
    </w:sdtPr>
    <w:sdtEndPr>
      <w:rPr>
        <w:rFonts w:ascii="Cambria" w:hAnsi="Cambria"/>
        <w:color w:val="002060"/>
        <w:sz w:val="32"/>
      </w:rPr>
    </w:sdtEndPr>
    <w:sdtContent>
      <w:bookmarkStart w:id="0" w:name="_GoBack" w:displacedByCustomXml="prev"/>
      <w:bookmarkEnd w:id="0" w:displacedByCustomXml="prev"/>
      <w:p w14:paraId="79329965" w14:textId="6C858CA2" w:rsidR="00391E10" w:rsidRDefault="00391E10" w:rsidP="00391E10">
        <w:pPr>
          <w:pStyle w:val="stBilgi"/>
          <w:jc w:val="center"/>
          <w:rPr>
            <w:rFonts w:ascii="Cambria" w:hAnsi="Cambria"/>
            <w:color w:val="002060"/>
            <w:sz w:val="32"/>
          </w:rPr>
        </w:pPr>
        <w:r w:rsidRPr="00391E10">
          <w:rPr>
            <w:rFonts w:ascii="Cambria" w:hAnsi="Cambria"/>
            <w:color w:val="002060"/>
            <w:sz w:val="32"/>
          </w:rPr>
          <w:t xml:space="preserve">2nd International Ege </w:t>
        </w:r>
        <w:proofErr w:type="spellStart"/>
        <w:r w:rsidRPr="00391E10">
          <w:rPr>
            <w:rFonts w:ascii="Cambria" w:hAnsi="Cambria"/>
            <w:color w:val="002060"/>
            <w:sz w:val="32"/>
          </w:rPr>
          <w:t>Congress</w:t>
        </w:r>
        <w:proofErr w:type="spellEnd"/>
        <w:r w:rsidRPr="00391E10">
          <w:rPr>
            <w:rFonts w:ascii="Cambria" w:hAnsi="Cambria"/>
            <w:color w:val="002060"/>
            <w:sz w:val="32"/>
          </w:rPr>
          <w:t xml:space="preserve"> </w:t>
        </w:r>
      </w:p>
      <w:p w14:paraId="640B8787" w14:textId="0E202AF3" w:rsidR="002D09C5" w:rsidRPr="00391E10" w:rsidRDefault="00391E10" w:rsidP="00391E10">
        <w:pPr>
          <w:pStyle w:val="stBilgi"/>
          <w:jc w:val="center"/>
          <w:rPr>
            <w:rFonts w:ascii="Cambria" w:hAnsi="Cambria"/>
            <w:color w:val="002060"/>
            <w:sz w:val="32"/>
          </w:rPr>
        </w:pPr>
        <w:r>
          <w:rPr>
            <w:rFonts w:ascii="Cambria" w:hAnsi="Cambria"/>
            <w:noProof/>
            <w:color w:val="002060"/>
            <w:sz w:val="32"/>
            <w:lang w:eastAsia="tr-TR"/>
          </w:rPr>
          <mc:AlternateContent>
            <mc:Choice Requires="wps">
              <w:drawing>
                <wp:anchor distT="0" distB="0" distL="114300" distR="114300" simplePos="0" relativeHeight="251659264" behindDoc="0" locked="0" layoutInCell="1" allowOverlap="1" wp14:anchorId="031C5771" wp14:editId="5ADA137F">
                  <wp:simplePos x="0" y="0"/>
                  <wp:positionH relativeFrom="column">
                    <wp:posOffset>-877570</wp:posOffset>
                  </wp:positionH>
                  <wp:positionV relativeFrom="paragraph">
                    <wp:posOffset>332740</wp:posOffset>
                  </wp:positionV>
                  <wp:extent cx="7551420" cy="0"/>
                  <wp:effectExtent l="38100" t="38100" r="68580" b="95250"/>
                  <wp:wrapNone/>
                  <wp:docPr id="1" name="Düz Bağlayıcı 1"/>
                  <wp:cNvGraphicFramePr/>
                  <a:graphic xmlns:a="http://schemas.openxmlformats.org/drawingml/2006/main">
                    <a:graphicData uri="http://schemas.microsoft.com/office/word/2010/wordprocessingShape">
                      <wps:wsp>
                        <wps:cNvCnPr/>
                        <wps:spPr>
                          <a:xfrm>
                            <a:off x="0" y="0"/>
                            <a:ext cx="75514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1F29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1pt,26.2pt" to="5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JDwQEAALYDAAAOAAAAZHJzL2Uyb0RvYy54bWysU82O0zAQviPxDpbvNEnFAoqarsRWcEFQ&#10;8fMAs864sfCfbNOkvAzPsHdu9MEYu20WAdoD4jLx2N83M9/MZHU9Gc32GKJytuPNouYMrXC9sruO&#10;f/r46skLzmIC24N2Fjt+wMiv148frUbf4tINTvcYGAWxsR19x4eUfFtVUQxoIC6cR0uP0gUDidyw&#10;q/oAI0U3ulrW9bNqdKH3wQmMkW43p0e+LvGlRJHeSRkxMd1xqi0VG4q9zbZar6DdBfCDEucy4B+q&#10;MKAsJZ1DbSAB+xLUH6GMEsFFJ9NCOFM5KZXAooHUNPVvaj4M4LFooeZEP7cp/r+w4u1+G5jqaXac&#10;WTA0os2P71/ZSzh+03A43onjHWtym0YfW0Lf2G04e9FvQ9Y8yWDyl9SwqbT2MLcWp8QEXT6/umqe&#10;LmkC4vJW3RN9iOk1OsPyoeNa2awaWti/iYmSEfQCIScXckpdTumgMYO1fY+SlFCyZWGXHcIbHdge&#10;aPr95yKDYhVkpkil9UyqHyadsZmGZa9mYvMwcUaXjM6mmWiUdeFv5DRdSpUn/EX1SWuWfev6QxlE&#10;aQctR+nSeZHz9v3qF/r977b+CQAA//8DAFBLAwQUAAYACAAAACEAlyleSd0AAAALAQAADwAAAGRy&#10;cy9kb3ducmV2LnhtbEyPwU7DMAyG70i8Q2QkLmhLWyhUpemEEByQdmEgzl5jkorGqZpsLW9PJg5w&#10;tP3p9/c3m8UN4khT6D0ryNcZCOLO656Ngve351UFIkRkjYNnUvBNATbt+VmDtfYzv9JxF41IIRxq&#10;VGBjHGspQ2fJYVj7kTjdPv3kMKZxMlJPOKdwN8giy26lw57TB4sjPVrqvnYHp6Bb5HJln7SZzd2L&#10;3mKoPmS5VeryYnm4BxFpiX8wnPSTOrTJae8PrIMYFKzy66pIrIKyuAFxIrIyT/X2vxvZNvJ/h/YH&#10;AAD//wMAUEsBAi0AFAAGAAgAAAAhALaDOJL+AAAA4QEAABMAAAAAAAAAAAAAAAAAAAAAAFtDb250&#10;ZW50X1R5cGVzXS54bWxQSwECLQAUAAYACAAAACEAOP0h/9YAAACUAQAACwAAAAAAAAAAAAAAAAAv&#10;AQAAX3JlbHMvLnJlbHNQSwECLQAUAAYACAAAACEAGGwiQ8EBAAC2AwAADgAAAAAAAAAAAAAAAAAu&#10;AgAAZHJzL2Uyb0RvYy54bWxQSwECLQAUAAYACAAAACEAlyleSd0AAAALAQAADwAAAAAAAAAAAAAA&#10;AAAbBAAAZHJzL2Rvd25yZXYueG1sUEsFBgAAAAAEAAQA8wAAACUFAAAAAA==&#10;" strokecolor="black [3200]" strokeweight="2pt">
                  <v:shadow on="t" color="black" opacity="24903f" origin=",.5" offset="0,.55556mm"/>
                </v:line>
              </w:pict>
            </mc:Fallback>
          </mc:AlternateContent>
        </w:r>
        <w:proofErr w:type="gramStart"/>
        <w:r>
          <w:rPr>
            <w:rFonts w:ascii="Cambria" w:hAnsi="Cambria"/>
            <w:color w:val="002060"/>
            <w:sz w:val="32"/>
          </w:rPr>
          <w:t>o</w:t>
        </w:r>
        <w:r w:rsidRPr="00391E10">
          <w:rPr>
            <w:rFonts w:ascii="Cambria" w:hAnsi="Cambria"/>
            <w:color w:val="002060"/>
            <w:sz w:val="32"/>
          </w:rPr>
          <w:t>n</w:t>
        </w:r>
        <w:proofErr w:type="gramEnd"/>
        <w:r>
          <w:rPr>
            <w:rFonts w:ascii="Cambria" w:hAnsi="Cambria"/>
            <w:color w:val="002060"/>
            <w:sz w:val="32"/>
          </w:rPr>
          <w:t xml:space="preserve"> </w:t>
        </w:r>
        <w:proofErr w:type="spellStart"/>
        <w:r w:rsidRPr="00391E10">
          <w:rPr>
            <w:rFonts w:ascii="Cambria" w:hAnsi="Cambria"/>
            <w:color w:val="002060"/>
            <w:sz w:val="32"/>
          </w:rPr>
          <w:t>Social</w:t>
        </w:r>
        <w:proofErr w:type="spellEnd"/>
        <w:r w:rsidRPr="00391E10">
          <w:rPr>
            <w:rFonts w:ascii="Cambria" w:hAnsi="Cambria"/>
            <w:color w:val="002060"/>
            <w:sz w:val="32"/>
          </w:rPr>
          <w:t xml:space="preserve"> </w:t>
        </w:r>
        <w:proofErr w:type="spellStart"/>
        <w:r w:rsidRPr="00391E10">
          <w:rPr>
            <w:rFonts w:ascii="Cambria" w:hAnsi="Cambria"/>
            <w:color w:val="002060"/>
            <w:sz w:val="32"/>
          </w:rPr>
          <w:t>Sciences</w:t>
        </w:r>
        <w:proofErr w:type="spellEnd"/>
        <w:r w:rsidRPr="00391E10">
          <w:rPr>
            <w:rFonts w:ascii="Cambria" w:hAnsi="Cambria"/>
            <w:color w:val="002060"/>
            <w:sz w:val="32"/>
          </w:rPr>
          <w:t xml:space="preserve"> &amp; </w:t>
        </w:r>
        <w:proofErr w:type="spellStart"/>
        <w:r w:rsidRPr="00391E10">
          <w:rPr>
            <w:rFonts w:ascii="Cambria" w:hAnsi="Cambria"/>
            <w:color w:val="002060"/>
            <w:sz w:val="32"/>
          </w:rPr>
          <w:t>Humanities</w:t>
        </w:r>
        <w:proofErr w:type="spellEnd"/>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3235" w14:textId="77777777" w:rsidR="00391E10" w:rsidRDefault="00391E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209F9"/>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91E10"/>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6D41"/>
    <w:rsid w:val="00892C27"/>
    <w:rsid w:val="008A1D38"/>
    <w:rsid w:val="00913C18"/>
    <w:rsid w:val="009431B5"/>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BE47B-2BC5-4D1F-B884-CF8612E2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9325</Words>
  <Characters>53157</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Kongre ismi yazılmalıdır</vt:lpstr>
      <vt:lpstr>5.Uluslararası Kültür ve Medeniyet Kongresi</vt:lpstr>
    </vt:vector>
  </TitlesOfParts>
  <Company>Progressive</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Alina Amanzholova</cp:lastModifiedBy>
  <cp:revision>2</cp:revision>
  <cp:lastPrinted>2019-12-27T21:52:00Z</cp:lastPrinted>
  <dcterms:created xsi:type="dcterms:W3CDTF">2023-05-27T11:35:00Z</dcterms:created>
  <dcterms:modified xsi:type="dcterms:W3CDTF">2023-05-27T11:35:00Z</dcterms:modified>
</cp:coreProperties>
</file>